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1163" w14:textId="0D78DF45" w:rsidR="009B3CE6" w:rsidRDefault="009B3CE6" w:rsidP="0021459F">
      <w:pPr>
        <w:pStyle w:val="Kommentartext"/>
        <w:ind w:right="1835"/>
        <w:rPr>
          <w:b/>
          <w:sz w:val="28"/>
          <w:szCs w:val="28"/>
        </w:rPr>
      </w:pPr>
      <w:bookmarkStart w:id="0" w:name="_GoBack"/>
      <w:bookmarkEnd w:id="0"/>
    </w:p>
    <w:p w14:paraId="711A05AC" w14:textId="77777777" w:rsidR="00C05B73" w:rsidRDefault="00C05B73" w:rsidP="0021459F">
      <w:pPr>
        <w:pStyle w:val="Kommentartext"/>
        <w:ind w:right="1835"/>
        <w:rPr>
          <w:b/>
          <w:sz w:val="28"/>
          <w:szCs w:val="28"/>
        </w:rPr>
      </w:pPr>
    </w:p>
    <w:p w14:paraId="245EED84" w14:textId="77777777" w:rsidR="00723793" w:rsidRDefault="00723793" w:rsidP="0021459F">
      <w:pPr>
        <w:pStyle w:val="Kommentartext"/>
        <w:ind w:right="1835"/>
        <w:rPr>
          <w:b/>
          <w:sz w:val="28"/>
          <w:szCs w:val="28"/>
        </w:rPr>
      </w:pPr>
    </w:p>
    <w:p w14:paraId="269ECD43" w14:textId="77777777" w:rsidR="00C05B73" w:rsidRDefault="00C05B73" w:rsidP="007D65B9">
      <w:pPr>
        <w:pStyle w:val="Kommentartext"/>
        <w:spacing w:line="360" w:lineRule="auto"/>
        <w:ind w:right="1835"/>
        <w:jc w:val="both"/>
        <w:rPr>
          <w:b/>
          <w:sz w:val="28"/>
          <w:szCs w:val="28"/>
        </w:rPr>
      </w:pPr>
    </w:p>
    <w:p w14:paraId="3AE6DE24" w14:textId="5F3F9E0A" w:rsidR="007D65B9" w:rsidRPr="007D65B9" w:rsidRDefault="007D65B9" w:rsidP="007D65B9">
      <w:pPr>
        <w:pStyle w:val="Kommentartext"/>
        <w:spacing w:line="360" w:lineRule="auto"/>
        <w:ind w:right="1835"/>
        <w:jc w:val="both"/>
        <w:rPr>
          <w:b/>
          <w:sz w:val="28"/>
          <w:szCs w:val="28"/>
        </w:rPr>
      </w:pPr>
      <w:r w:rsidRPr="007D65B9">
        <w:rPr>
          <w:b/>
          <w:sz w:val="28"/>
          <w:szCs w:val="28"/>
        </w:rPr>
        <w:t xml:space="preserve">TGW sells US conveyor </w:t>
      </w:r>
      <w:r w:rsidR="00880336">
        <w:rPr>
          <w:b/>
          <w:sz w:val="28"/>
          <w:szCs w:val="28"/>
        </w:rPr>
        <w:t>a</w:t>
      </w:r>
      <w:r w:rsidR="008A79C3">
        <w:rPr>
          <w:b/>
          <w:sz w:val="28"/>
          <w:szCs w:val="28"/>
        </w:rPr>
        <w:t>ssets</w:t>
      </w:r>
      <w:r w:rsidR="008A79C3" w:rsidRPr="007D65B9">
        <w:rPr>
          <w:b/>
          <w:sz w:val="28"/>
          <w:szCs w:val="28"/>
        </w:rPr>
        <w:t xml:space="preserve"> </w:t>
      </w:r>
      <w:r w:rsidRPr="007D65B9">
        <w:rPr>
          <w:b/>
          <w:sz w:val="28"/>
          <w:szCs w:val="28"/>
        </w:rPr>
        <w:t>to MHS</w:t>
      </w:r>
    </w:p>
    <w:p w14:paraId="45E4DCAD" w14:textId="77777777" w:rsidR="007D65B9" w:rsidRPr="007D65B9" w:rsidRDefault="007D65B9" w:rsidP="007D65B9">
      <w:pPr>
        <w:pStyle w:val="Kommentartext"/>
        <w:spacing w:line="360" w:lineRule="auto"/>
        <w:ind w:right="1835"/>
        <w:jc w:val="both"/>
      </w:pPr>
    </w:p>
    <w:p w14:paraId="77F2AB44" w14:textId="0BA62CC5" w:rsidR="007D65B9" w:rsidRPr="007D65B9" w:rsidRDefault="007D65B9" w:rsidP="007D65B9">
      <w:pPr>
        <w:pStyle w:val="Kommentartext"/>
        <w:numPr>
          <w:ilvl w:val="0"/>
          <w:numId w:val="30"/>
        </w:numPr>
        <w:spacing w:line="360" w:lineRule="auto"/>
        <w:ind w:right="1835"/>
        <w:jc w:val="both"/>
        <w:rPr>
          <w:b/>
          <w:sz w:val="24"/>
          <w:szCs w:val="24"/>
        </w:rPr>
      </w:pPr>
      <w:r w:rsidRPr="007D65B9">
        <w:rPr>
          <w:b/>
          <w:sz w:val="24"/>
          <w:szCs w:val="24"/>
        </w:rPr>
        <w:t xml:space="preserve">TGW's US conveyor </w:t>
      </w:r>
      <w:r w:rsidR="008A79C3">
        <w:rPr>
          <w:b/>
          <w:sz w:val="24"/>
          <w:szCs w:val="24"/>
        </w:rPr>
        <w:t xml:space="preserve">assets </w:t>
      </w:r>
      <w:r w:rsidRPr="007D65B9">
        <w:rPr>
          <w:b/>
          <w:sz w:val="24"/>
          <w:szCs w:val="24"/>
        </w:rPr>
        <w:t>to be acquired by MHS Holdings, Inc.</w:t>
      </w:r>
    </w:p>
    <w:p w14:paraId="33A1486A" w14:textId="77777777" w:rsidR="007D65B9" w:rsidRPr="007D65B9" w:rsidRDefault="007D65B9" w:rsidP="007D65B9">
      <w:pPr>
        <w:pStyle w:val="Kommentartext"/>
        <w:numPr>
          <w:ilvl w:val="0"/>
          <w:numId w:val="30"/>
        </w:numPr>
        <w:spacing w:line="360" w:lineRule="auto"/>
        <w:ind w:right="1835"/>
        <w:jc w:val="both"/>
        <w:rPr>
          <w:b/>
          <w:sz w:val="24"/>
          <w:szCs w:val="24"/>
        </w:rPr>
      </w:pPr>
      <w:r w:rsidRPr="007D65B9">
        <w:rPr>
          <w:b/>
          <w:sz w:val="24"/>
          <w:szCs w:val="24"/>
        </w:rPr>
        <w:t>With the sale</w:t>
      </w:r>
      <w:r w:rsidR="00B0449A">
        <w:rPr>
          <w:b/>
          <w:sz w:val="24"/>
          <w:szCs w:val="24"/>
        </w:rPr>
        <w:t>,</w:t>
      </w:r>
      <w:r w:rsidRPr="007D65B9">
        <w:rPr>
          <w:b/>
          <w:sz w:val="24"/>
          <w:szCs w:val="24"/>
        </w:rPr>
        <w:t xml:space="preserve"> TGW adjusts its strategic portfolio and focuses on the growing integration business in North America</w:t>
      </w:r>
    </w:p>
    <w:p w14:paraId="4D63D5F6" w14:textId="67200989" w:rsidR="007D65B9" w:rsidRPr="007D65B9" w:rsidRDefault="007D65B9" w:rsidP="007D65B9">
      <w:pPr>
        <w:pStyle w:val="Kommentartext"/>
        <w:numPr>
          <w:ilvl w:val="0"/>
          <w:numId w:val="30"/>
        </w:numPr>
        <w:spacing w:line="360" w:lineRule="auto"/>
        <w:ind w:right="1835"/>
        <w:jc w:val="both"/>
        <w:rPr>
          <w:b/>
          <w:sz w:val="24"/>
          <w:szCs w:val="24"/>
        </w:rPr>
      </w:pPr>
      <w:r w:rsidRPr="007D65B9">
        <w:rPr>
          <w:b/>
          <w:sz w:val="24"/>
          <w:szCs w:val="24"/>
        </w:rPr>
        <w:t xml:space="preserve">MHS takes over </w:t>
      </w:r>
      <w:r w:rsidR="00014320">
        <w:rPr>
          <w:b/>
          <w:sz w:val="24"/>
          <w:szCs w:val="24"/>
        </w:rPr>
        <w:t>the associated</w:t>
      </w:r>
      <w:r w:rsidRPr="007D65B9">
        <w:rPr>
          <w:b/>
          <w:sz w:val="24"/>
          <w:szCs w:val="24"/>
        </w:rPr>
        <w:t xml:space="preserve"> employees and will further develop the </w:t>
      </w:r>
      <w:r w:rsidR="008A79C3">
        <w:rPr>
          <w:b/>
          <w:sz w:val="24"/>
          <w:szCs w:val="24"/>
        </w:rPr>
        <w:t xml:space="preserve">division </w:t>
      </w:r>
      <w:r w:rsidRPr="007D65B9">
        <w:rPr>
          <w:b/>
          <w:sz w:val="24"/>
          <w:szCs w:val="24"/>
        </w:rPr>
        <w:t>in a sustainable way</w:t>
      </w:r>
    </w:p>
    <w:p w14:paraId="0A1414D7" w14:textId="77777777" w:rsidR="007D65B9" w:rsidRPr="007D65B9" w:rsidRDefault="007D65B9" w:rsidP="007D65B9">
      <w:pPr>
        <w:pStyle w:val="Kommentartext"/>
        <w:spacing w:line="360" w:lineRule="auto"/>
        <w:ind w:right="1835"/>
        <w:jc w:val="both"/>
      </w:pPr>
    </w:p>
    <w:p w14:paraId="5491EEBF" w14:textId="0F4434B5" w:rsidR="0077239C" w:rsidRPr="00C05B73" w:rsidRDefault="007D65B9" w:rsidP="00880336">
      <w:pPr>
        <w:pStyle w:val="Kommentartext"/>
        <w:spacing w:line="360" w:lineRule="auto"/>
        <w:ind w:right="1835"/>
        <w:jc w:val="both"/>
        <w:rPr>
          <w:b/>
        </w:rPr>
      </w:pPr>
      <w:r w:rsidRPr="00C05B73">
        <w:rPr>
          <w:b/>
        </w:rPr>
        <w:t>(Marchtrenk,</w:t>
      </w:r>
      <w:r w:rsidR="00C05B73" w:rsidRPr="00C05B73">
        <w:rPr>
          <w:b/>
        </w:rPr>
        <w:t xml:space="preserve"> Austria, </w:t>
      </w:r>
      <w:r w:rsidR="00FA61A8" w:rsidRPr="00C05B73">
        <w:rPr>
          <w:b/>
        </w:rPr>
        <w:t>11</w:t>
      </w:r>
      <w:r w:rsidRPr="00C05B73">
        <w:rPr>
          <w:b/>
        </w:rPr>
        <w:t xml:space="preserve">. January 2021) TGW Logistics Group </w:t>
      </w:r>
      <w:r w:rsidR="005B13DF" w:rsidRPr="00C05B73">
        <w:rPr>
          <w:b/>
        </w:rPr>
        <w:t xml:space="preserve">will sell </w:t>
      </w:r>
      <w:r w:rsidR="008A79C3" w:rsidRPr="00C05B73">
        <w:rPr>
          <w:b/>
        </w:rPr>
        <w:t xml:space="preserve">certain of </w:t>
      </w:r>
      <w:r w:rsidRPr="00C05B73">
        <w:rPr>
          <w:b/>
        </w:rPr>
        <w:t xml:space="preserve">its </w:t>
      </w:r>
      <w:r w:rsidR="00B0449A" w:rsidRPr="00C05B73">
        <w:rPr>
          <w:b/>
        </w:rPr>
        <w:t xml:space="preserve">US </w:t>
      </w:r>
      <w:r w:rsidRPr="00C05B73">
        <w:rPr>
          <w:b/>
        </w:rPr>
        <w:t xml:space="preserve">conveyor </w:t>
      </w:r>
      <w:r w:rsidR="008A79C3" w:rsidRPr="00C05B73">
        <w:rPr>
          <w:b/>
        </w:rPr>
        <w:t xml:space="preserve">assets </w:t>
      </w:r>
      <w:r w:rsidRPr="00C05B73">
        <w:rPr>
          <w:b/>
        </w:rPr>
        <w:t xml:space="preserve">located in Norton Shores (Michigan) to Material Handling Systems, Inc. (MHS). The contract between the two companies has been signed and the acquisition is expected to take effect in February 2021. </w:t>
      </w:r>
      <w:r w:rsidR="0077239C" w:rsidRPr="00C05B73">
        <w:rPr>
          <w:b/>
        </w:rPr>
        <w:t xml:space="preserve">Lincoln International </w:t>
      </w:r>
      <w:r w:rsidR="0074080F" w:rsidRPr="00C05B73">
        <w:rPr>
          <w:b/>
        </w:rPr>
        <w:t>guided TGW through the whole M&amp;A process.</w:t>
      </w:r>
      <w:r w:rsidR="00880336" w:rsidRPr="00C05B73">
        <w:rPr>
          <w:b/>
        </w:rPr>
        <w:t xml:space="preserve"> </w:t>
      </w:r>
      <w:r w:rsidR="0077239C" w:rsidRPr="00C05B73">
        <w:rPr>
          <w:b/>
        </w:rPr>
        <w:t>KPMG acted as an Accounting and Tax Advisor and Goldberg Kohn Ltd acted as legal counsel to TGW. Financial terms for the transaction were not disclosed.</w:t>
      </w:r>
    </w:p>
    <w:p w14:paraId="7BFCE521" w14:textId="77777777" w:rsidR="0077239C" w:rsidRPr="007D65B9" w:rsidRDefault="0077239C" w:rsidP="007D65B9">
      <w:pPr>
        <w:pStyle w:val="Kommentartext"/>
        <w:spacing w:line="360" w:lineRule="auto"/>
        <w:ind w:right="1835"/>
        <w:jc w:val="both"/>
      </w:pPr>
    </w:p>
    <w:p w14:paraId="16C00383" w14:textId="77777777" w:rsidR="007D65B9" w:rsidRPr="007D65B9" w:rsidRDefault="007D65B9" w:rsidP="007D65B9">
      <w:pPr>
        <w:pStyle w:val="Kommentartext"/>
        <w:spacing w:line="360" w:lineRule="auto"/>
        <w:ind w:right="1835"/>
        <w:jc w:val="both"/>
      </w:pPr>
      <w:r w:rsidRPr="007D65B9">
        <w:t xml:space="preserve">TGW made its entry into the US market more than 15 years ago with the acquisition of the material handling equipment producer Ermanco. Since then, the locally produced equipment has been used in projects </w:t>
      </w:r>
      <w:r w:rsidR="005B13DF">
        <w:t>throughout</w:t>
      </w:r>
      <w:r w:rsidR="005B13DF" w:rsidRPr="007D65B9">
        <w:t xml:space="preserve"> </w:t>
      </w:r>
      <w:r w:rsidRPr="007D65B9">
        <w:t>North America.</w:t>
      </w:r>
    </w:p>
    <w:p w14:paraId="5F53895C" w14:textId="77777777" w:rsidR="007D65B9" w:rsidRPr="007D65B9" w:rsidRDefault="007D65B9" w:rsidP="007D65B9">
      <w:pPr>
        <w:pStyle w:val="Kommentartext"/>
        <w:spacing w:line="360" w:lineRule="auto"/>
        <w:ind w:right="1835"/>
        <w:jc w:val="both"/>
      </w:pPr>
    </w:p>
    <w:p w14:paraId="22C98749" w14:textId="77777777" w:rsidR="007D65B9" w:rsidRPr="007D65B9" w:rsidRDefault="007D65B9" w:rsidP="007D65B9">
      <w:pPr>
        <w:pStyle w:val="Kommentartext"/>
        <w:spacing w:line="360" w:lineRule="auto"/>
        <w:ind w:right="1835"/>
        <w:jc w:val="both"/>
        <w:rPr>
          <w:b/>
        </w:rPr>
      </w:pPr>
      <w:r w:rsidRPr="007D65B9">
        <w:rPr>
          <w:b/>
        </w:rPr>
        <w:t>Standardization in Conveyor Technology</w:t>
      </w:r>
    </w:p>
    <w:p w14:paraId="2857AE79" w14:textId="77777777" w:rsidR="007D65B9" w:rsidRPr="007D65B9" w:rsidRDefault="007D65B9" w:rsidP="007D65B9">
      <w:pPr>
        <w:pStyle w:val="Kommentartext"/>
        <w:spacing w:line="360" w:lineRule="auto"/>
        <w:ind w:right="1835"/>
        <w:jc w:val="both"/>
      </w:pPr>
    </w:p>
    <w:p w14:paraId="46CD1F37" w14:textId="159A02FA" w:rsidR="007D65B9" w:rsidRPr="007D65B9" w:rsidRDefault="007D65B9" w:rsidP="007D65B9">
      <w:pPr>
        <w:pStyle w:val="Kommentartext"/>
        <w:spacing w:line="360" w:lineRule="auto"/>
        <w:ind w:right="1835"/>
        <w:jc w:val="both"/>
      </w:pPr>
      <w:r w:rsidRPr="007D65B9">
        <w:t xml:space="preserve">The specific requirements of the US conveyor </w:t>
      </w:r>
      <w:r w:rsidR="008A79C3">
        <w:t xml:space="preserve">assets </w:t>
      </w:r>
      <w:r w:rsidR="00B0449A" w:rsidRPr="007D65B9">
        <w:t>conflict</w:t>
      </w:r>
      <w:r w:rsidR="00B0449A">
        <w:t>s</w:t>
      </w:r>
      <w:r w:rsidR="00B0449A" w:rsidRPr="007D65B9">
        <w:t xml:space="preserve"> </w:t>
      </w:r>
      <w:r w:rsidRPr="007D65B9">
        <w:t>with the global standardization strategy of the TGW Group, which focuses on the energy-efficient KingDrive® technology in the conveyor sector.</w:t>
      </w:r>
    </w:p>
    <w:p w14:paraId="463350DB" w14:textId="77777777" w:rsidR="007D65B9" w:rsidRPr="007D65B9" w:rsidRDefault="007D65B9" w:rsidP="007D65B9">
      <w:pPr>
        <w:pStyle w:val="Kommentartext"/>
        <w:spacing w:line="360" w:lineRule="auto"/>
        <w:ind w:right="1835"/>
        <w:jc w:val="both"/>
      </w:pPr>
    </w:p>
    <w:p w14:paraId="39B1AD29" w14:textId="003FCF43" w:rsidR="007D65B9" w:rsidRPr="007D65B9" w:rsidRDefault="007D65B9" w:rsidP="007D65B9">
      <w:pPr>
        <w:pStyle w:val="Kommentartext"/>
        <w:spacing w:line="360" w:lineRule="auto"/>
        <w:ind w:right="1835"/>
        <w:jc w:val="both"/>
      </w:pPr>
      <w:r w:rsidRPr="007D65B9">
        <w:t>After a thorough analysis</w:t>
      </w:r>
      <w:r w:rsidR="005B13DF">
        <w:t>,</w:t>
      </w:r>
      <w:r w:rsidR="00880336">
        <w:t xml:space="preserve"> </w:t>
      </w:r>
      <w:r w:rsidRPr="007D65B9">
        <w:t xml:space="preserve">TGW decided to sell the US conveyor </w:t>
      </w:r>
      <w:r w:rsidR="008A79C3">
        <w:t>assets</w:t>
      </w:r>
      <w:r w:rsidRPr="007D65B9">
        <w:t xml:space="preserve">. </w:t>
      </w:r>
      <w:r w:rsidR="005B13DF">
        <w:t xml:space="preserve">MHS represents a strategic investor </w:t>
      </w:r>
      <w:r w:rsidRPr="007D65B9">
        <w:t xml:space="preserve">which will integrate the product line into its existing portfolio, take over </w:t>
      </w:r>
      <w:r w:rsidR="00246424">
        <w:t>the associated</w:t>
      </w:r>
      <w:r w:rsidRPr="007D65B9">
        <w:t xml:space="preserve"> employees and sustainably develop the </w:t>
      </w:r>
      <w:r w:rsidR="00B0449A">
        <w:t>business</w:t>
      </w:r>
      <w:r w:rsidRPr="007D65B9">
        <w:t>.</w:t>
      </w:r>
    </w:p>
    <w:p w14:paraId="704CE24C" w14:textId="77777777" w:rsidR="007D65B9" w:rsidRPr="007D65B9" w:rsidRDefault="007D65B9" w:rsidP="007D65B9">
      <w:pPr>
        <w:pStyle w:val="Kommentartext"/>
        <w:spacing w:line="360" w:lineRule="auto"/>
        <w:ind w:right="1835"/>
        <w:jc w:val="both"/>
      </w:pPr>
    </w:p>
    <w:p w14:paraId="509266BC" w14:textId="77777777" w:rsidR="007D65B9" w:rsidRPr="007D65B9" w:rsidRDefault="007D65B9" w:rsidP="007D65B9">
      <w:pPr>
        <w:pStyle w:val="Kommentartext"/>
        <w:spacing w:line="360" w:lineRule="auto"/>
        <w:ind w:right="1835"/>
        <w:jc w:val="both"/>
      </w:pPr>
    </w:p>
    <w:p w14:paraId="1B7C0E25" w14:textId="77777777" w:rsidR="007D65B9" w:rsidRPr="00014320" w:rsidRDefault="007D65B9" w:rsidP="007D65B9">
      <w:pPr>
        <w:pStyle w:val="Kommentartext"/>
        <w:spacing w:line="360" w:lineRule="auto"/>
        <w:ind w:right="1835"/>
        <w:jc w:val="both"/>
        <w:rPr>
          <w:b/>
        </w:rPr>
      </w:pPr>
      <w:r w:rsidRPr="00014320">
        <w:rPr>
          <w:b/>
        </w:rPr>
        <w:lastRenderedPageBreak/>
        <w:t>TGW: Focus on System Integration with Automated Systems</w:t>
      </w:r>
      <w:r w:rsidR="00014320">
        <w:rPr>
          <w:b/>
        </w:rPr>
        <w:t xml:space="preserve"> </w:t>
      </w:r>
      <w:r w:rsidRPr="00014320">
        <w:rPr>
          <w:b/>
        </w:rPr>
        <w:t xml:space="preserve">in North America </w:t>
      </w:r>
    </w:p>
    <w:p w14:paraId="01375EBD" w14:textId="77777777" w:rsidR="007D65B9" w:rsidRPr="007D65B9" w:rsidRDefault="007D65B9" w:rsidP="007D65B9">
      <w:pPr>
        <w:pStyle w:val="Kommentartext"/>
        <w:spacing w:line="360" w:lineRule="auto"/>
        <w:ind w:right="1835"/>
        <w:jc w:val="both"/>
      </w:pPr>
    </w:p>
    <w:p w14:paraId="443A1C1A" w14:textId="28925E7F" w:rsidR="007D65B9" w:rsidRPr="007D65B9" w:rsidRDefault="007D65B9" w:rsidP="007D65B9">
      <w:pPr>
        <w:pStyle w:val="Kommentartext"/>
        <w:spacing w:line="360" w:lineRule="auto"/>
        <w:ind w:right="1835"/>
        <w:jc w:val="both"/>
      </w:pPr>
      <w:r w:rsidRPr="007D65B9">
        <w:t xml:space="preserve">"With the sale, TGW is </w:t>
      </w:r>
      <w:r w:rsidR="00014320">
        <w:t>adjusting</w:t>
      </w:r>
      <w:r w:rsidRPr="007D65B9">
        <w:t xml:space="preserve"> its strategic portfolio. We are pleased that with MHS we have selected a strategic investor who will further develop the </w:t>
      </w:r>
      <w:r w:rsidR="008A79C3">
        <w:t xml:space="preserve">North American team </w:t>
      </w:r>
      <w:r w:rsidRPr="007D65B9">
        <w:t>and be a reliable employer for the employees. This was particularly important to us throughout the entire process," emphasizes Harald Schröpf, CEO of TGW Logistics Group. "TGW can thus fully concentrate on the integration business with auto</w:t>
      </w:r>
      <w:r w:rsidR="00C05B73">
        <w:t>mated systems in North America –</w:t>
      </w:r>
      <w:r w:rsidRPr="007D65B9">
        <w:t xml:space="preserve"> and thus on a growth market with great potential."</w:t>
      </w:r>
    </w:p>
    <w:p w14:paraId="0454E811" w14:textId="77777777" w:rsidR="007D65B9" w:rsidRPr="007D65B9" w:rsidRDefault="007D65B9" w:rsidP="007D65B9">
      <w:pPr>
        <w:pStyle w:val="Kommentartext"/>
        <w:spacing w:line="360" w:lineRule="auto"/>
        <w:ind w:right="1835"/>
        <w:jc w:val="both"/>
      </w:pPr>
    </w:p>
    <w:p w14:paraId="48579237" w14:textId="77777777" w:rsidR="007D65B9" w:rsidRPr="007D65B9" w:rsidRDefault="007D65B9" w:rsidP="007D65B9">
      <w:pPr>
        <w:pStyle w:val="Kommentartext"/>
        <w:spacing w:line="360" w:lineRule="auto"/>
        <w:ind w:right="1835"/>
        <w:jc w:val="both"/>
      </w:pPr>
      <w:r w:rsidRPr="007D65B9">
        <w:t xml:space="preserve">"TGW's </w:t>
      </w:r>
      <w:r w:rsidR="008A79C3">
        <w:t xml:space="preserve">conveyor </w:t>
      </w:r>
      <w:r w:rsidRPr="007D65B9">
        <w:t xml:space="preserve">material handling business in North America looks back on an impressive growth history of more than 50 years," underlines Scott McReynolds, CEO and co-founder of MHS. "The company brings </w:t>
      </w:r>
      <w:r w:rsidR="00014320">
        <w:t>with it a strong base</w:t>
      </w:r>
      <w:r w:rsidRPr="007D65B9">
        <w:t>. It is a fantastic addition to our portfolio and expands our existing capabilities."</w:t>
      </w:r>
    </w:p>
    <w:p w14:paraId="6291311A" w14:textId="77777777" w:rsidR="00C42ECA" w:rsidRPr="007D65B9" w:rsidRDefault="00C42ECA" w:rsidP="007D65B9">
      <w:pPr>
        <w:pStyle w:val="Kommentartext"/>
        <w:spacing w:line="360" w:lineRule="auto"/>
        <w:ind w:right="1835"/>
        <w:jc w:val="both"/>
      </w:pPr>
    </w:p>
    <w:p w14:paraId="7715AC93" w14:textId="77777777" w:rsidR="00C42ECA" w:rsidRPr="007D65B9" w:rsidRDefault="00C42ECA" w:rsidP="007D65B9">
      <w:pPr>
        <w:pStyle w:val="Kommentartext"/>
        <w:spacing w:line="360" w:lineRule="auto"/>
        <w:ind w:right="1835"/>
        <w:jc w:val="both"/>
      </w:pPr>
    </w:p>
    <w:p w14:paraId="158A8674" w14:textId="77777777" w:rsidR="00C42ECA" w:rsidRPr="007D65B9" w:rsidRDefault="00C42ECA" w:rsidP="007D65B9">
      <w:pPr>
        <w:pStyle w:val="Kommentartext"/>
        <w:spacing w:line="360" w:lineRule="auto"/>
        <w:ind w:right="1835"/>
        <w:jc w:val="both"/>
      </w:pPr>
    </w:p>
    <w:p w14:paraId="7E54DE23" w14:textId="77777777" w:rsidR="00C42ECA" w:rsidRPr="007D65B9" w:rsidRDefault="00C42ECA" w:rsidP="007D65B9">
      <w:pPr>
        <w:pStyle w:val="Kommentartext"/>
        <w:spacing w:line="360" w:lineRule="auto"/>
        <w:ind w:right="1835"/>
        <w:jc w:val="both"/>
      </w:pPr>
    </w:p>
    <w:p w14:paraId="18DAE84B" w14:textId="77777777" w:rsidR="00C42ECA" w:rsidRPr="007D65B9" w:rsidRDefault="00C42ECA" w:rsidP="007D65B9">
      <w:pPr>
        <w:pStyle w:val="Kommentartext"/>
        <w:spacing w:line="360" w:lineRule="auto"/>
        <w:ind w:right="1835"/>
        <w:jc w:val="both"/>
      </w:pPr>
    </w:p>
    <w:p w14:paraId="210E373A" w14:textId="7D365CE6" w:rsidR="007E79A3" w:rsidRDefault="007E79A3" w:rsidP="007D65B9">
      <w:pPr>
        <w:pStyle w:val="Kommentartext"/>
        <w:spacing w:line="360" w:lineRule="auto"/>
        <w:ind w:right="1835"/>
        <w:jc w:val="both"/>
      </w:pPr>
    </w:p>
    <w:p w14:paraId="2996DB5E" w14:textId="170ED975" w:rsidR="00C05B73" w:rsidRDefault="00C05B73" w:rsidP="007D65B9">
      <w:pPr>
        <w:pStyle w:val="Kommentartext"/>
        <w:spacing w:line="360" w:lineRule="auto"/>
        <w:ind w:right="1835"/>
        <w:jc w:val="both"/>
      </w:pPr>
    </w:p>
    <w:p w14:paraId="2FB917E0" w14:textId="2CC976A9" w:rsidR="00C05B73" w:rsidRDefault="00C05B73" w:rsidP="007D65B9">
      <w:pPr>
        <w:pStyle w:val="Kommentartext"/>
        <w:spacing w:line="360" w:lineRule="auto"/>
        <w:ind w:right="1835"/>
        <w:jc w:val="both"/>
      </w:pPr>
    </w:p>
    <w:p w14:paraId="47D9FF2C" w14:textId="58F3377C" w:rsidR="00C05B73" w:rsidRDefault="00C05B73" w:rsidP="007D65B9">
      <w:pPr>
        <w:pStyle w:val="Kommentartext"/>
        <w:spacing w:line="360" w:lineRule="auto"/>
        <w:ind w:right="1835"/>
        <w:jc w:val="both"/>
      </w:pPr>
    </w:p>
    <w:p w14:paraId="05A47248" w14:textId="1C5BF5AE" w:rsidR="00C05B73" w:rsidRDefault="00C05B73" w:rsidP="007D65B9">
      <w:pPr>
        <w:pStyle w:val="Kommentartext"/>
        <w:spacing w:line="360" w:lineRule="auto"/>
        <w:ind w:right="1835"/>
        <w:jc w:val="both"/>
      </w:pPr>
    </w:p>
    <w:p w14:paraId="0EECE0B7" w14:textId="70415DB1" w:rsidR="00C05B73" w:rsidRDefault="00C05B73" w:rsidP="007D65B9">
      <w:pPr>
        <w:pStyle w:val="Kommentartext"/>
        <w:spacing w:line="360" w:lineRule="auto"/>
        <w:ind w:right="1835"/>
        <w:jc w:val="both"/>
      </w:pPr>
    </w:p>
    <w:p w14:paraId="16B43C06" w14:textId="161F2F21" w:rsidR="00C05B73" w:rsidRDefault="00C05B73" w:rsidP="007D65B9">
      <w:pPr>
        <w:pStyle w:val="Kommentartext"/>
        <w:spacing w:line="360" w:lineRule="auto"/>
        <w:ind w:right="1835"/>
        <w:jc w:val="both"/>
      </w:pPr>
    </w:p>
    <w:p w14:paraId="455FB697" w14:textId="68569682" w:rsidR="00C05B73" w:rsidRDefault="00C05B73" w:rsidP="007D65B9">
      <w:pPr>
        <w:pStyle w:val="Kommentartext"/>
        <w:spacing w:line="360" w:lineRule="auto"/>
        <w:ind w:right="1835"/>
        <w:jc w:val="both"/>
      </w:pPr>
    </w:p>
    <w:p w14:paraId="5CD8F801" w14:textId="32D81018" w:rsidR="00C05B73" w:rsidRDefault="00C05B73" w:rsidP="007D65B9">
      <w:pPr>
        <w:pStyle w:val="Kommentartext"/>
        <w:spacing w:line="360" w:lineRule="auto"/>
        <w:ind w:right="1835"/>
        <w:jc w:val="both"/>
      </w:pPr>
    </w:p>
    <w:p w14:paraId="25EE3BD1" w14:textId="0C0F11D1" w:rsidR="00C05B73" w:rsidRDefault="00C05B73" w:rsidP="007D65B9">
      <w:pPr>
        <w:pStyle w:val="Kommentartext"/>
        <w:spacing w:line="360" w:lineRule="auto"/>
        <w:ind w:right="1835"/>
        <w:jc w:val="both"/>
      </w:pPr>
    </w:p>
    <w:p w14:paraId="392B2A4F" w14:textId="613B0876" w:rsidR="00C05B73" w:rsidRDefault="00C05B73" w:rsidP="007D65B9">
      <w:pPr>
        <w:pStyle w:val="Kommentartext"/>
        <w:spacing w:line="360" w:lineRule="auto"/>
        <w:ind w:right="1835"/>
        <w:jc w:val="both"/>
      </w:pPr>
    </w:p>
    <w:p w14:paraId="7E320EB9" w14:textId="38CEA70C" w:rsidR="00C05B73" w:rsidRDefault="00C05B73" w:rsidP="007D65B9">
      <w:pPr>
        <w:pStyle w:val="Kommentartext"/>
        <w:spacing w:line="360" w:lineRule="auto"/>
        <w:ind w:right="1835"/>
        <w:jc w:val="both"/>
      </w:pPr>
    </w:p>
    <w:p w14:paraId="6520899A" w14:textId="13E3D113" w:rsidR="00C05B73" w:rsidRDefault="00C05B73" w:rsidP="007D65B9">
      <w:pPr>
        <w:pStyle w:val="Kommentartext"/>
        <w:spacing w:line="360" w:lineRule="auto"/>
        <w:ind w:right="1835"/>
        <w:jc w:val="both"/>
      </w:pPr>
    </w:p>
    <w:p w14:paraId="25D8879E" w14:textId="2B01A1EC" w:rsidR="00C05B73" w:rsidRDefault="00C05B73" w:rsidP="007D65B9">
      <w:pPr>
        <w:pStyle w:val="Kommentartext"/>
        <w:spacing w:line="360" w:lineRule="auto"/>
        <w:ind w:right="1835"/>
        <w:jc w:val="both"/>
      </w:pPr>
    </w:p>
    <w:p w14:paraId="78ADA057" w14:textId="59D7845B" w:rsidR="00C05B73" w:rsidRDefault="00C05B73" w:rsidP="007D65B9">
      <w:pPr>
        <w:pStyle w:val="Kommentartext"/>
        <w:spacing w:line="360" w:lineRule="auto"/>
        <w:ind w:right="1835"/>
        <w:jc w:val="both"/>
      </w:pPr>
    </w:p>
    <w:p w14:paraId="3BFD70E6" w14:textId="283A61F0" w:rsidR="00C05B73" w:rsidRDefault="00C05B73" w:rsidP="007D65B9">
      <w:pPr>
        <w:pStyle w:val="Kommentartext"/>
        <w:spacing w:line="360" w:lineRule="auto"/>
        <w:ind w:right="1835"/>
        <w:jc w:val="both"/>
      </w:pPr>
    </w:p>
    <w:p w14:paraId="62CBEEB4" w14:textId="475AD698" w:rsidR="00C05B73" w:rsidRDefault="00C05B73" w:rsidP="007D65B9">
      <w:pPr>
        <w:pStyle w:val="Kommentartext"/>
        <w:spacing w:line="360" w:lineRule="auto"/>
        <w:ind w:right="1835"/>
        <w:jc w:val="both"/>
      </w:pPr>
    </w:p>
    <w:p w14:paraId="02E7565F" w14:textId="52AAA52D" w:rsidR="00C05B73" w:rsidRDefault="00C05B73" w:rsidP="007D65B9">
      <w:pPr>
        <w:pStyle w:val="Kommentartext"/>
        <w:spacing w:line="360" w:lineRule="auto"/>
        <w:ind w:right="1835"/>
        <w:jc w:val="both"/>
      </w:pPr>
    </w:p>
    <w:p w14:paraId="20B0B1D0" w14:textId="77777777" w:rsidR="00C05B73" w:rsidRDefault="00C05B73" w:rsidP="00C05B73">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35A248F6" w14:textId="77777777" w:rsidR="00C05B73" w:rsidRDefault="00C44FC3" w:rsidP="00C05B73">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05B73">
          <w:rPr>
            <w:rStyle w:val="Hyperlink"/>
            <w:rFonts w:ascii="Arial" w:hAnsi="Arial" w:cs="Arial"/>
            <w:sz w:val="20"/>
            <w:szCs w:val="20"/>
          </w:rPr>
          <w:t>www.tgw-group.com</w:t>
        </w:r>
      </w:hyperlink>
    </w:p>
    <w:p w14:paraId="2DD5DB63" w14:textId="77777777" w:rsidR="00C05B73" w:rsidRPr="00BE0059" w:rsidRDefault="00C05B73" w:rsidP="00C05B73">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Pr>
          <w:rFonts w:ascii="Arial" w:hAnsi="Arial" w:cs="Arial"/>
          <w:b/>
          <w:sz w:val="20"/>
          <w:szCs w:val="20"/>
        </w:rPr>
        <w:lastRenderedPageBreak/>
        <w:t>About TGW Logistics Group:</w:t>
      </w:r>
    </w:p>
    <w:p w14:paraId="004E2C87" w14:textId="77777777" w:rsidR="00C05B73" w:rsidRPr="00C65FF1" w:rsidRDefault="00C05B73" w:rsidP="00C05B73">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Pr>
          <w:rFonts w:ascii="Arial" w:hAnsi="Arial" w:cs="Arial"/>
          <w:sz w:val="20"/>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520ED610" w14:textId="77777777" w:rsidR="00C05B73" w:rsidRPr="00624A23" w:rsidRDefault="00C05B73" w:rsidP="00C05B73">
      <w:pPr>
        <w:tabs>
          <w:tab w:val="left" w:pos="1697"/>
          <w:tab w:val="left" w:pos="7797"/>
        </w:tabs>
        <w:spacing w:line="240" w:lineRule="auto"/>
        <w:ind w:right="1693"/>
        <w:jc w:val="both"/>
        <w:rPr>
          <w:rFonts w:cs="Arial"/>
          <w:sz w:val="22"/>
        </w:rPr>
      </w:pPr>
    </w:p>
    <w:p w14:paraId="1E37054C" w14:textId="77777777" w:rsidR="00C05B73" w:rsidRPr="00C65FF1" w:rsidRDefault="00C05B73" w:rsidP="00C05B73">
      <w:pPr>
        <w:tabs>
          <w:tab w:val="left" w:pos="7797"/>
        </w:tabs>
        <w:spacing w:line="240" w:lineRule="auto"/>
        <w:ind w:right="1693"/>
        <w:jc w:val="both"/>
        <w:rPr>
          <w:rFonts w:cs="Arial"/>
          <w:szCs w:val="20"/>
        </w:rPr>
      </w:pPr>
      <w:r>
        <w:rPr>
          <w:rFonts w:cs="Arial"/>
          <w:szCs w:val="20"/>
        </w:rPr>
        <w:t>TGW Logistics Group has subsidiaries in Europe, China and the US and more than 3,700 employees worldwide. In the 2019/2020 business year, the company generated a total turnover of 835.8 million euros.</w:t>
      </w:r>
    </w:p>
    <w:p w14:paraId="3FD30289" w14:textId="77777777" w:rsidR="00C05B73" w:rsidRDefault="00C05B73" w:rsidP="00C05B73">
      <w:pPr>
        <w:tabs>
          <w:tab w:val="left" w:pos="7797"/>
        </w:tabs>
        <w:spacing w:line="240" w:lineRule="auto"/>
        <w:ind w:right="1693"/>
        <w:jc w:val="both"/>
        <w:rPr>
          <w:rFonts w:cs="Arial"/>
          <w:sz w:val="22"/>
        </w:rPr>
      </w:pPr>
    </w:p>
    <w:p w14:paraId="1D151804" w14:textId="77777777" w:rsidR="00C05B73" w:rsidRDefault="00C05B73" w:rsidP="00C05B73">
      <w:pPr>
        <w:tabs>
          <w:tab w:val="left" w:pos="7797"/>
        </w:tabs>
        <w:spacing w:line="240" w:lineRule="auto"/>
        <w:ind w:right="1126"/>
        <w:jc w:val="both"/>
        <w:rPr>
          <w:rFonts w:cs="Arial"/>
          <w:sz w:val="22"/>
        </w:rPr>
      </w:pPr>
    </w:p>
    <w:p w14:paraId="4D47078D" w14:textId="77777777" w:rsidR="00C05B73" w:rsidRPr="00624A23" w:rsidRDefault="00C05B73" w:rsidP="00C05B73">
      <w:pPr>
        <w:tabs>
          <w:tab w:val="left" w:pos="7797"/>
        </w:tabs>
        <w:spacing w:line="240" w:lineRule="auto"/>
        <w:ind w:right="1126"/>
        <w:jc w:val="both"/>
        <w:rPr>
          <w:rFonts w:cs="Arial"/>
          <w:sz w:val="22"/>
        </w:rPr>
      </w:pPr>
    </w:p>
    <w:p w14:paraId="38F98B9B" w14:textId="77777777" w:rsidR="00C05B73" w:rsidRPr="00624A23" w:rsidRDefault="00C05B73" w:rsidP="00C05B73">
      <w:pPr>
        <w:tabs>
          <w:tab w:val="left" w:pos="7797"/>
        </w:tabs>
        <w:spacing w:line="240" w:lineRule="auto"/>
        <w:ind w:right="1126"/>
        <w:jc w:val="both"/>
        <w:rPr>
          <w:rFonts w:cs="Arial"/>
          <w:sz w:val="22"/>
        </w:rPr>
      </w:pPr>
    </w:p>
    <w:p w14:paraId="586D9BEA" w14:textId="77777777" w:rsidR="00C05B73" w:rsidRPr="00C65FF1" w:rsidRDefault="00C05B73" w:rsidP="00C05B73">
      <w:pPr>
        <w:tabs>
          <w:tab w:val="left" w:pos="7797"/>
        </w:tabs>
        <w:spacing w:line="240" w:lineRule="auto"/>
        <w:ind w:right="1126"/>
        <w:jc w:val="both"/>
        <w:rPr>
          <w:rFonts w:cs="Arial"/>
          <w:szCs w:val="20"/>
        </w:rPr>
      </w:pPr>
      <w:r>
        <w:rPr>
          <w:rFonts w:cs="Arial"/>
          <w:szCs w:val="20"/>
        </w:rPr>
        <w:t>Pictures:</w:t>
      </w:r>
    </w:p>
    <w:p w14:paraId="00033B5A" w14:textId="77777777" w:rsidR="00C05B73" w:rsidRDefault="00C05B73" w:rsidP="00C05B73">
      <w:pPr>
        <w:spacing w:line="240" w:lineRule="auto"/>
        <w:ind w:right="1552"/>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170888EC" w14:textId="77777777" w:rsidR="00C05B73" w:rsidRDefault="00C05B73" w:rsidP="00C05B73">
      <w:pPr>
        <w:spacing w:line="240" w:lineRule="auto"/>
        <w:ind w:right="1843"/>
        <w:rPr>
          <w:rStyle w:val="Hyperlink"/>
          <w:color w:val="auto"/>
          <w:szCs w:val="20"/>
          <w:u w:val="none"/>
        </w:rPr>
      </w:pPr>
    </w:p>
    <w:p w14:paraId="3D797311" w14:textId="77777777" w:rsidR="00C05B73" w:rsidRPr="00C65FF1" w:rsidRDefault="00C05B73" w:rsidP="00C05B73">
      <w:pPr>
        <w:tabs>
          <w:tab w:val="left" w:pos="7797"/>
        </w:tabs>
        <w:spacing w:line="240" w:lineRule="auto"/>
        <w:ind w:right="1126"/>
        <w:jc w:val="both"/>
        <w:rPr>
          <w:rFonts w:cs="Arial"/>
          <w:szCs w:val="20"/>
        </w:rPr>
      </w:pPr>
    </w:p>
    <w:p w14:paraId="774036B7" w14:textId="77777777" w:rsidR="00C05B73" w:rsidRPr="00C65FF1" w:rsidRDefault="00C05B73" w:rsidP="00C05B73">
      <w:pPr>
        <w:tabs>
          <w:tab w:val="left" w:pos="7797"/>
        </w:tabs>
        <w:spacing w:line="240" w:lineRule="auto"/>
        <w:ind w:right="1126"/>
        <w:jc w:val="both"/>
        <w:rPr>
          <w:rFonts w:cs="Arial"/>
          <w:szCs w:val="20"/>
        </w:rPr>
      </w:pPr>
    </w:p>
    <w:p w14:paraId="75800369" w14:textId="77777777" w:rsidR="00C05B73" w:rsidRPr="00C65FF1" w:rsidRDefault="00C05B73" w:rsidP="00C05B73">
      <w:pPr>
        <w:tabs>
          <w:tab w:val="left" w:pos="7797"/>
        </w:tabs>
        <w:spacing w:line="240" w:lineRule="auto"/>
        <w:ind w:right="1126"/>
        <w:jc w:val="both"/>
        <w:rPr>
          <w:rFonts w:cs="Arial"/>
          <w:szCs w:val="20"/>
        </w:rPr>
      </w:pPr>
      <w:r>
        <w:rPr>
          <w:rFonts w:cs="Arial"/>
          <w:szCs w:val="20"/>
        </w:rPr>
        <w:t>Contact:</w:t>
      </w:r>
    </w:p>
    <w:p w14:paraId="4B0FD9F1" w14:textId="77777777" w:rsidR="00C05B73" w:rsidRPr="00C65FF1" w:rsidRDefault="00C05B73" w:rsidP="00C05B73">
      <w:pPr>
        <w:tabs>
          <w:tab w:val="left" w:pos="7797"/>
        </w:tabs>
        <w:spacing w:line="240" w:lineRule="auto"/>
        <w:ind w:right="1126"/>
        <w:jc w:val="both"/>
        <w:rPr>
          <w:rFonts w:cs="Arial"/>
          <w:szCs w:val="20"/>
        </w:rPr>
      </w:pPr>
      <w:r>
        <w:rPr>
          <w:rFonts w:cs="Arial"/>
          <w:szCs w:val="20"/>
        </w:rPr>
        <w:t>TGW Logistics Group GmbH</w:t>
      </w:r>
    </w:p>
    <w:p w14:paraId="3A28C3B3" w14:textId="77777777" w:rsidR="00C05B73" w:rsidRPr="00C65FF1" w:rsidRDefault="00C05B73" w:rsidP="00C05B73">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48E87900" w14:textId="77777777" w:rsidR="00C05B73" w:rsidRPr="00C65FF1" w:rsidRDefault="00C05B73" w:rsidP="00C05B73">
      <w:pPr>
        <w:tabs>
          <w:tab w:val="left" w:pos="7797"/>
        </w:tabs>
        <w:spacing w:line="240" w:lineRule="auto"/>
        <w:ind w:right="1126"/>
        <w:jc w:val="both"/>
        <w:rPr>
          <w:rFonts w:cs="Arial"/>
          <w:szCs w:val="20"/>
        </w:rPr>
      </w:pPr>
      <w:r>
        <w:rPr>
          <w:rFonts w:cs="Arial"/>
          <w:szCs w:val="20"/>
        </w:rPr>
        <w:t>T: +43.50.486-0</w:t>
      </w:r>
    </w:p>
    <w:p w14:paraId="1976E013" w14:textId="77777777" w:rsidR="00C05B73" w:rsidRPr="00C65FF1" w:rsidRDefault="00C05B73" w:rsidP="00C05B73">
      <w:pPr>
        <w:tabs>
          <w:tab w:val="left" w:pos="7797"/>
        </w:tabs>
        <w:spacing w:line="240" w:lineRule="auto"/>
        <w:ind w:right="1126"/>
        <w:jc w:val="both"/>
        <w:rPr>
          <w:rFonts w:cs="Arial"/>
          <w:szCs w:val="20"/>
        </w:rPr>
      </w:pPr>
      <w:r>
        <w:rPr>
          <w:rFonts w:cs="Arial"/>
          <w:szCs w:val="20"/>
        </w:rPr>
        <w:t>F: +43.50.486-31</w:t>
      </w:r>
    </w:p>
    <w:p w14:paraId="007F0209" w14:textId="77777777" w:rsidR="00C05B73" w:rsidRPr="00C65FF1" w:rsidRDefault="00C05B73" w:rsidP="00C05B73">
      <w:pPr>
        <w:tabs>
          <w:tab w:val="left" w:pos="7797"/>
        </w:tabs>
        <w:spacing w:line="240" w:lineRule="auto"/>
        <w:ind w:right="1126"/>
        <w:jc w:val="both"/>
        <w:rPr>
          <w:rFonts w:cs="Arial"/>
          <w:szCs w:val="20"/>
        </w:rPr>
      </w:pPr>
      <w:r>
        <w:rPr>
          <w:rFonts w:cs="Arial"/>
          <w:szCs w:val="20"/>
        </w:rPr>
        <w:t>e-mail: tgw@tgw-group.com</w:t>
      </w:r>
    </w:p>
    <w:p w14:paraId="237DD189" w14:textId="77777777" w:rsidR="00C05B73" w:rsidRPr="00C65FF1" w:rsidRDefault="00C05B73" w:rsidP="00C05B73">
      <w:pPr>
        <w:tabs>
          <w:tab w:val="left" w:pos="7797"/>
        </w:tabs>
        <w:spacing w:line="240" w:lineRule="auto"/>
        <w:ind w:right="1126"/>
        <w:jc w:val="both"/>
        <w:rPr>
          <w:rFonts w:cs="Arial"/>
          <w:szCs w:val="20"/>
        </w:rPr>
      </w:pPr>
    </w:p>
    <w:p w14:paraId="2CDC4C70" w14:textId="77777777" w:rsidR="00C05B73" w:rsidRPr="00C65FF1" w:rsidRDefault="00C05B73" w:rsidP="00C05B73">
      <w:pPr>
        <w:tabs>
          <w:tab w:val="left" w:pos="7797"/>
        </w:tabs>
        <w:spacing w:line="240" w:lineRule="auto"/>
        <w:ind w:right="1126"/>
        <w:jc w:val="both"/>
        <w:rPr>
          <w:rFonts w:cs="Arial"/>
          <w:szCs w:val="20"/>
        </w:rPr>
      </w:pPr>
    </w:p>
    <w:p w14:paraId="1A6D3799" w14:textId="77777777" w:rsidR="00C05B73" w:rsidRPr="00C65FF1" w:rsidRDefault="00C05B73" w:rsidP="00C05B73">
      <w:pPr>
        <w:tabs>
          <w:tab w:val="left" w:pos="7797"/>
        </w:tabs>
        <w:spacing w:line="240" w:lineRule="auto"/>
        <w:ind w:right="1126"/>
        <w:jc w:val="both"/>
        <w:rPr>
          <w:rFonts w:cs="Arial"/>
          <w:szCs w:val="20"/>
        </w:rPr>
      </w:pPr>
    </w:p>
    <w:p w14:paraId="6AFAAEAD" w14:textId="77777777" w:rsidR="00C05B73" w:rsidRPr="006F0202" w:rsidRDefault="00C05B73" w:rsidP="00C05B73">
      <w:pPr>
        <w:tabs>
          <w:tab w:val="left" w:pos="7797"/>
        </w:tabs>
        <w:spacing w:line="240" w:lineRule="auto"/>
        <w:ind w:right="1126"/>
        <w:jc w:val="both"/>
        <w:rPr>
          <w:rFonts w:cs="Arial"/>
          <w:szCs w:val="20"/>
          <w:lang w:val="en-AU"/>
        </w:rPr>
      </w:pPr>
      <w:r>
        <w:rPr>
          <w:rFonts w:cs="Arial"/>
          <w:szCs w:val="20"/>
        </w:rPr>
        <w:t>Press contact:</w:t>
      </w:r>
    </w:p>
    <w:p w14:paraId="2E0C0CFC" w14:textId="77777777" w:rsidR="00C05B73" w:rsidRPr="006F0202" w:rsidRDefault="00C05B73" w:rsidP="00C05B73">
      <w:pPr>
        <w:tabs>
          <w:tab w:val="left" w:pos="7797"/>
        </w:tabs>
        <w:spacing w:line="240" w:lineRule="auto"/>
        <w:ind w:right="1126"/>
        <w:jc w:val="both"/>
        <w:rPr>
          <w:rFonts w:cs="Arial"/>
          <w:szCs w:val="20"/>
          <w:lang w:val="en-AU"/>
        </w:rPr>
      </w:pPr>
      <w:r>
        <w:rPr>
          <w:rFonts w:cs="Arial"/>
          <w:szCs w:val="20"/>
        </w:rPr>
        <w:t>Alexander Tahedl</w:t>
      </w:r>
    </w:p>
    <w:p w14:paraId="1F5AF198" w14:textId="77777777" w:rsidR="00C05B73" w:rsidRPr="006F0202" w:rsidRDefault="00C05B73" w:rsidP="00C05B73">
      <w:pPr>
        <w:tabs>
          <w:tab w:val="left" w:pos="7797"/>
        </w:tabs>
        <w:spacing w:line="240" w:lineRule="auto"/>
        <w:ind w:right="1126"/>
        <w:jc w:val="both"/>
        <w:rPr>
          <w:rFonts w:cs="Arial"/>
          <w:szCs w:val="20"/>
          <w:lang w:val="en-AU"/>
        </w:rPr>
      </w:pPr>
      <w:r>
        <w:rPr>
          <w:rFonts w:cs="Arial"/>
          <w:szCs w:val="20"/>
        </w:rPr>
        <w:t>Communications Specialist</w:t>
      </w:r>
    </w:p>
    <w:p w14:paraId="7EF32A15" w14:textId="77777777" w:rsidR="00C05B73" w:rsidRPr="00FD7D40" w:rsidRDefault="00C05B73" w:rsidP="00C05B73">
      <w:pPr>
        <w:tabs>
          <w:tab w:val="left" w:pos="7797"/>
        </w:tabs>
        <w:spacing w:line="240" w:lineRule="auto"/>
        <w:ind w:right="1126"/>
        <w:jc w:val="both"/>
        <w:rPr>
          <w:rFonts w:cs="Arial"/>
          <w:szCs w:val="20"/>
          <w:lang w:val="en-AU"/>
        </w:rPr>
      </w:pPr>
      <w:r>
        <w:rPr>
          <w:rFonts w:cs="Arial"/>
          <w:szCs w:val="20"/>
        </w:rPr>
        <w:t>T: +43.50.486-2267</w:t>
      </w:r>
    </w:p>
    <w:p w14:paraId="51A26DF9" w14:textId="77777777" w:rsidR="00C05B73" w:rsidRPr="00FD7D40" w:rsidRDefault="00C05B73" w:rsidP="00C05B73">
      <w:pPr>
        <w:tabs>
          <w:tab w:val="left" w:pos="7797"/>
        </w:tabs>
        <w:spacing w:line="240" w:lineRule="auto"/>
        <w:ind w:right="1126"/>
        <w:jc w:val="both"/>
        <w:rPr>
          <w:rFonts w:cs="Arial"/>
          <w:szCs w:val="20"/>
          <w:lang w:val="en-AU"/>
        </w:rPr>
      </w:pPr>
      <w:r>
        <w:rPr>
          <w:rFonts w:cs="Arial"/>
          <w:szCs w:val="20"/>
        </w:rPr>
        <w:t>M: +43.664.88459713</w:t>
      </w:r>
    </w:p>
    <w:p w14:paraId="5F61DD85" w14:textId="77777777" w:rsidR="00C05B73" w:rsidRPr="00FD7D40" w:rsidRDefault="00C05B73" w:rsidP="00C05B73">
      <w:pPr>
        <w:tabs>
          <w:tab w:val="left" w:pos="7797"/>
        </w:tabs>
        <w:spacing w:line="240" w:lineRule="auto"/>
        <w:ind w:right="1126"/>
        <w:jc w:val="both"/>
        <w:rPr>
          <w:rFonts w:cs="Arial"/>
          <w:szCs w:val="20"/>
          <w:lang w:val="en-AU"/>
        </w:rPr>
      </w:pPr>
      <w:r>
        <w:rPr>
          <w:rFonts w:cs="Arial"/>
          <w:szCs w:val="20"/>
        </w:rPr>
        <w:t>alexander.tahedl@tgw-group.com</w:t>
      </w:r>
    </w:p>
    <w:p w14:paraId="487C1F04" w14:textId="77777777" w:rsidR="00C05B73" w:rsidRPr="00FD7D40" w:rsidRDefault="00C05B73" w:rsidP="00C05B73">
      <w:pPr>
        <w:tabs>
          <w:tab w:val="left" w:pos="7797"/>
        </w:tabs>
        <w:spacing w:line="240" w:lineRule="auto"/>
        <w:ind w:right="1126"/>
        <w:jc w:val="both"/>
        <w:rPr>
          <w:rFonts w:cs="Arial"/>
          <w:szCs w:val="20"/>
          <w:lang w:val="en-AU"/>
        </w:rPr>
      </w:pPr>
    </w:p>
    <w:p w14:paraId="5CBEC547" w14:textId="77777777" w:rsidR="00C05B73" w:rsidRPr="00FD7D40" w:rsidRDefault="00C05B73" w:rsidP="00C05B73">
      <w:pPr>
        <w:tabs>
          <w:tab w:val="left" w:pos="7797"/>
        </w:tabs>
        <w:spacing w:line="240" w:lineRule="auto"/>
        <w:ind w:right="1126"/>
        <w:jc w:val="both"/>
        <w:rPr>
          <w:rFonts w:cs="Arial"/>
          <w:szCs w:val="20"/>
          <w:lang w:val="en-AU"/>
        </w:rPr>
      </w:pPr>
    </w:p>
    <w:p w14:paraId="1DA3130E" w14:textId="77777777" w:rsidR="00C05B73" w:rsidRPr="006F0202" w:rsidRDefault="00C05B73" w:rsidP="00C05B73">
      <w:pPr>
        <w:tabs>
          <w:tab w:val="left" w:pos="7797"/>
        </w:tabs>
        <w:spacing w:line="240" w:lineRule="auto"/>
        <w:ind w:right="1126"/>
        <w:jc w:val="both"/>
        <w:rPr>
          <w:rFonts w:cs="Arial"/>
          <w:szCs w:val="20"/>
          <w:lang w:val="en-AU"/>
        </w:rPr>
      </w:pPr>
      <w:r>
        <w:rPr>
          <w:rFonts w:cs="Arial"/>
          <w:szCs w:val="20"/>
        </w:rPr>
        <w:t>Martin Kirchmayr</w:t>
      </w:r>
    </w:p>
    <w:p w14:paraId="141EC6E5" w14:textId="77777777" w:rsidR="00C05B73" w:rsidRPr="00C65FF1" w:rsidRDefault="00C05B73" w:rsidP="00C05B73">
      <w:pPr>
        <w:tabs>
          <w:tab w:val="left" w:pos="7797"/>
        </w:tabs>
        <w:spacing w:line="240" w:lineRule="auto"/>
        <w:ind w:right="1126"/>
        <w:jc w:val="both"/>
        <w:rPr>
          <w:rFonts w:cs="Arial"/>
          <w:szCs w:val="20"/>
          <w:lang w:val="en-US"/>
        </w:rPr>
      </w:pPr>
      <w:r>
        <w:rPr>
          <w:rFonts w:cs="Arial"/>
          <w:szCs w:val="20"/>
        </w:rPr>
        <w:t>Director Marketing &amp; Communications</w:t>
      </w:r>
    </w:p>
    <w:p w14:paraId="7BC10B9D" w14:textId="77777777" w:rsidR="00C05B73" w:rsidRPr="00FD7D40" w:rsidRDefault="00C05B73" w:rsidP="00C05B73">
      <w:pPr>
        <w:tabs>
          <w:tab w:val="left" w:pos="7797"/>
        </w:tabs>
        <w:spacing w:line="240" w:lineRule="auto"/>
        <w:ind w:right="1126"/>
        <w:jc w:val="both"/>
        <w:rPr>
          <w:rFonts w:cs="Arial"/>
          <w:szCs w:val="20"/>
        </w:rPr>
      </w:pPr>
      <w:r>
        <w:rPr>
          <w:rFonts w:cs="Arial"/>
          <w:szCs w:val="20"/>
        </w:rPr>
        <w:t>T: +43.50.486-1382</w:t>
      </w:r>
    </w:p>
    <w:p w14:paraId="37E790BA" w14:textId="77777777" w:rsidR="00C05B73" w:rsidRPr="00FD7D40" w:rsidRDefault="00C05B73" w:rsidP="00C05B73">
      <w:pPr>
        <w:tabs>
          <w:tab w:val="left" w:pos="3432"/>
          <w:tab w:val="left" w:pos="7797"/>
        </w:tabs>
        <w:spacing w:line="240" w:lineRule="auto"/>
        <w:ind w:right="1126"/>
        <w:jc w:val="both"/>
        <w:rPr>
          <w:rFonts w:cs="Arial"/>
          <w:szCs w:val="20"/>
        </w:rPr>
      </w:pPr>
      <w:r>
        <w:rPr>
          <w:rFonts w:cs="Arial"/>
          <w:szCs w:val="20"/>
        </w:rPr>
        <w:t>M: +43.664.8187423</w:t>
      </w:r>
    </w:p>
    <w:p w14:paraId="49A811CD" w14:textId="77777777" w:rsidR="00C05B73" w:rsidRPr="00FD7D40" w:rsidRDefault="00C05B73" w:rsidP="00C05B73">
      <w:pPr>
        <w:tabs>
          <w:tab w:val="left" w:pos="7797"/>
        </w:tabs>
        <w:spacing w:line="240" w:lineRule="auto"/>
        <w:ind w:right="1126"/>
        <w:jc w:val="both"/>
        <w:rPr>
          <w:rFonts w:cs="Arial"/>
          <w:szCs w:val="20"/>
        </w:rPr>
      </w:pPr>
      <w:r>
        <w:rPr>
          <w:rFonts w:cs="Arial"/>
          <w:szCs w:val="20"/>
        </w:rPr>
        <w:t>martin.kirchmayr@tgw-group.com</w:t>
      </w:r>
    </w:p>
    <w:p w14:paraId="778F9D0A" w14:textId="7EC8FE56" w:rsidR="00C05B73" w:rsidRDefault="00C05B73" w:rsidP="007D65B9">
      <w:pPr>
        <w:pStyle w:val="Kommentartext"/>
        <w:spacing w:line="360" w:lineRule="auto"/>
        <w:ind w:right="1835"/>
        <w:jc w:val="both"/>
      </w:pPr>
    </w:p>
    <w:p w14:paraId="7FD21403" w14:textId="77777777" w:rsidR="00C05B73" w:rsidRPr="007D65B9" w:rsidRDefault="00C05B73" w:rsidP="007D65B9">
      <w:pPr>
        <w:pStyle w:val="Kommentartext"/>
        <w:spacing w:line="360" w:lineRule="auto"/>
        <w:ind w:right="1835"/>
        <w:jc w:val="both"/>
      </w:pPr>
    </w:p>
    <w:sectPr w:rsidR="00C05B73" w:rsidRPr="007D65B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990D" w14:textId="77777777" w:rsidR="00C44FC3" w:rsidRDefault="00C44FC3" w:rsidP="00764006">
      <w:pPr>
        <w:spacing w:line="240" w:lineRule="auto"/>
      </w:pPr>
      <w:r>
        <w:separator/>
      </w:r>
    </w:p>
  </w:endnote>
  <w:endnote w:type="continuationSeparator" w:id="0">
    <w:p w14:paraId="38FD8E20" w14:textId="77777777" w:rsidR="00C44FC3" w:rsidRDefault="00C44FC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FE794D0" w14:textId="77777777" w:rsidTr="00C15D91">
      <w:tc>
        <w:tcPr>
          <w:tcW w:w="6474" w:type="dxa"/>
        </w:tcPr>
        <w:p w14:paraId="1CD2395B"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7EF1A25" w14:textId="77777777" w:rsidR="00A459AA" w:rsidRPr="00252CD7" w:rsidRDefault="00A459AA" w:rsidP="007D0E42">
          <w:pPr>
            <w:pStyle w:val="Fuzeile"/>
            <w:rPr>
              <w:sz w:val="16"/>
            </w:rPr>
          </w:pPr>
        </w:p>
      </w:tc>
      <w:tc>
        <w:tcPr>
          <w:tcW w:w="283" w:type="dxa"/>
          <w:tcBorders>
            <w:left w:val="single" w:sz="12" w:space="0" w:color="C00418" w:themeColor="accent1"/>
          </w:tcBorders>
        </w:tcPr>
        <w:p w14:paraId="3ACADF39" w14:textId="77777777" w:rsidR="00A459AA" w:rsidRPr="00252CD7" w:rsidRDefault="00A459AA" w:rsidP="007D0E42">
          <w:pPr>
            <w:pStyle w:val="Fuzeile"/>
            <w:rPr>
              <w:sz w:val="16"/>
            </w:rPr>
          </w:pPr>
        </w:p>
      </w:tc>
      <w:tc>
        <w:tcPr>
          <w:tcW w:w="2438" w:type="dxa"/>
          <w:vAlign w:val="center"/>
        </w:tcPr>
        <w:p w14:paraId="13E2691F" w14:textId="33FA59EE"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996EFF">
            <w:rPr>
              <w:noProof/>
              <w:sz w:val="16"/>
            </w:rPr>
            <w:t>3</w:t>
          </w:r>
          <w:r w:rsidRPr="00252CD7">
            <w:rPr>
              <w:sz w:val="16"/>
            </w:rPr>
            <w:fldChar w:fldCharType="end"/>
          </w:r>
          <w:r w:rsidRPr="00252CD7">
            <w:rPr>
              <w:sz w:val="16"/>
            </w:rPr>
            <w:t xml:space="preserve"> / </w:t>
          </w:r>
          <w:r w:rsidR="002F0BC0">
            <w:rPr>
              <w:sz w:val="16"/>
            </w:rPr>
            <w:t>3</w:t>
          </w:r>
        </w:p>
      </w:tc>
    </w:tr>
  </w:tbl>
  <w:p w14:paraId="2244E580"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E2AA" w14:textId="77777777" w:rsidR="00C44FC3" w:rsidRDefault="00C44FC3" w:rsidP="00764006">
      <w:pPr>
        <w:spacing w:line="240" w:lineRule="auto"/>
      </w:pPr>
      <w:r>
        <w:separator/>
      </w:r>
    </w:p>
  </w:footnote>
  <w:footnote w:type="continuationSeparator" w:id="0">
    <w:p w14:paraId="752BF4A5" w14:textId="77777777" w:rsidR="00C44FC3" w:rsidRDefault="00C44FC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6577" w14:textId="77777777" w:rsidR="00A459AA" w:rsidRDefault="00A459AA" w:rsidP="00764006">
    <w:pPr>
      <w:pStyle w:val="Kopfzeile"/>
      <w:jc w:val="right"/>
    </w:pPr>
    <w:r>
      <w:br/>
    </w:r>
  </w:p>
  <w:p w14:paraId="1B666551" w14:textId="54E65F2E"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36DC5FB8" wp14:editId="3F50E63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C05B7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63"/>
    <w:multiLevelType w:val="hybridMultilevel"/>
    <w:tmpl w:val="2858163A"/>
    <w:lvl w:ilvl="0" w:tplc="0C070001">
      <w:start w:val="1"/>
      <w:numFmt w:val="bullet"/>
      <w:lvlText w:val=""/>
      <w:lvlJc w:val="left"/>
      <w:pPr>
        <w:ind w:left="720" w:hanging="360"/>
      </w:pPr>
      <w:rPr>
        <w:rFonts w:ascii="Symbol" w:hAnsi="Symbol" w:hint="default"/>
        <w:b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92071E"/>
    <w:multiLevelType w:val="hybridMultilevel"/>
    <w:tmpl w:val="8618A5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B54815"/>
    <w:multiLevelType w:val="hybridMultilevel"/>
    <w:tmpl w:val="42BA6F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C1042"/>
    <w:multiLevelType w:val="hybridMultilevel"/>
    <w:tmpl w:val="AACC0A0E"/>
    <w:lvl w:ilvl="0" w:tplc="E5C8C74E">
      <w:numFmt w:val="bullet"/>
      <w:lvlText w:val="-"/>
      <w:lvlJc w:val="left"/>
      <w:pPr>
        <w:ind w:left="720" w:hanging="360"/>
      </w:pPr>
      <w:rPr>
        <w:rFonts w:ascii="Arial" w:eastAsiaTheme="minorHAnsi" w:hAnsi="Arial" w:cs="Arial" w:hint="default"/>
        <w:b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9"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5"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num>
  <w:num w:numId="3">
    <w:abstractNumId w:val="17"/>
  </w:num>
  <w:num w:numId="4">
    <w:abstractNumId w:val="26"/>
  </w:num>
  <w:num w:numId="5">
    <w:abstractNumId w:val="16"/>
  </w:num>
  <w:num w:numId="6">
    <w:abstractNumId w:val="5"/>
  </w:num>
  <w:num w:numId="7">
    <w:abstractNumId w:val="18"/>
  </w:num>
  <w:num w:numId="8">
    <w:abstractNumId w:val="14"/>
  </w:num>
  <w:num w:numId="9">
    <w:abstractNumId w:val="23"/>
  </w:num>
  <w:num w:numId="10">
    <w:abstractNumId w:val="3"/>
  </w:num>
  <w:num w:numId="11">
    <w:abstractNumId w:val="10"/>
  </w:num>
  <w:num w:numId="12">
    <w:abstractNumId w:val="20"/>
  </w:num>
  <w:num w:numId="13">
    <w:abstractNumId w:val="21"/>
  </w:num>
  <w:num w:numId="14">
    <w:abstractNumId w:val="25"/>
  </w:num>
  <w:num w:numId="15">
    <w:abstractNumId w:val="27"/>
  </w:num>
  <w:num w:numId="16">
    <w:abstractNumId w:val="6"/>
  </w:num>
  <w:num w:numId="17">
    <w:abstractNumId w:val="24"/>
  </w:num>
  <w:num w:numId="18">
    <w:abstractNumId w:val="8"/>
  </w:num>
  <w:num w:numId="19">
    <w:abstractNumId w:val="11"/>
  </w:num>
  <w:num w:numId="20">
    <w:abstractNumId w:val="13"/>
  </w:num>
  <w:num w:numId="21">
    <w:abstractNumId w:val="2"/>
  </w:num>
  <w:num w:numId="22">
    <w:abstractNumId w:val="12"/>
  </w:num>
  <w:num w:numId="23">
    <w:abstractNumId w:val="22"/>
  </w:num>
  <w:num w:numId="24">
    <w:abstractNumId w:val="22"/>
  </w:num>
  <w:num w:numId="25">
    <w:abstractNumId w:val="4"/>
  </w:num>
  <w:num w:numId="26">
    <w:abstractNumId w:val="7"/>
  </w:num>
  <w:num w:numId="27">
    <w:abstractNumId w:val="1"/>
  </w:num>
  <w:num w:numId="28">
    <w:abstractNumId w:val="9"/>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48E"/>
    <w:rsid w:val="00013BF0"/>
    <w:rsid w:val="0001432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A4C"/>
    <w:rsid w:val="000740E1"/>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44D"/>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4A89"/>
    <w:rsid w:val="00165D4D"/>
    <w:rsid w:val="00166ED9"/>
    <w:rsid w:val="00166FA7"/>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59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472"/>
    <w:rsid w:val="00235786"/>
    <w:rsid w:val="002364D2"/>
    <w:rsid w:val="00237FAD"/>
    <w:rsid w:val="00240F29"/>
    <w:rsid w:val="00240FD6"/>
    <w:rsid w:val="00241300"/>
    <w:rsid w:val="0024166E"/>
    <w:rsid w:val="00241EA6"/>
    <w:rsid w:val="00241F08"/>
    <w:rsid w:val="00242C47"/>
    <w:rsid w:val="00244775"/>
    <w:rsid w:val="00244E44"/>
    <w:rsid w:val="0024517B"/>
    <w:rsid w:val="00246424"/>
    <w:rsid w:val="0024667B"/>
    <w:rsid w:val="002466C0"/>
    <w:rsid w:val="00246CB6"/>
    <w:rsid w:val="00246D41"/>
    <w:rsid w:val="002470F9"/>
    <w:rsid w:val="002479A0"/>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348F"/>
    <w:rsid w:val="0032405B"/>
    <w:rsid w:val="00324AF6"/>
    <w:rsid w:val="00325194"/>
    <w:rsid w:val="003260FC"/>
    <w:rsid w:val="00326EC0"/>
    <w:rsid w:val="00330273"/>
    <w:rsid w:val="00331CE5"/>
    <w:rsid w:val="00331DF2"/>
    <w:rsid w:val="0033228A"/>
    <w:rsid w:val="003324FD"/>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56F"/>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45CE"/>
    <w:rsid w:val="003A6EC7"/>
    <w:rsid w:val="003A717A"/>
    <w:rsid w:val="003B0D11"/>
    <w:rsid w:val="003B5239"/>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AAA"/>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045"/>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08E2"/>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91213"/>
    <w:rsid w:val="00494615"/>
    <w:rsid w:val="00494CBC"/>
    <w:rsid w:val="00494F3A"/>
    <w:rsid w:val="00496C35"/>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1839"/>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4AD4"/>
    <w:rsid w:val="0052541C"/>
    <w:rsid w:val="00525BD8"/>
    <w:rsid w:val="00525CD2"/>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C70"/>
    <w:rsid w:val="005A1CE4"/>
    <w:rsid w:val="005A3199"/>
    <w:rsid w:val="005A3DFB"/>
    <w:rsid w:val="005A4173"/>
    <w:rsid w:val="005A4597"/>
    <w:rsid w:val="005A47C9"/>
    <w:rsid w:val="005A5A59"/>
    <w:rsid w:val="005A642C"/>
    <w:rsid w:val="005A6B7D"/>
    <w:rsid w:val="005B13DF"/>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566"/>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75FF"/>
    <w:rsid w:val="00617D3B"/>
    <w:rsid w:val="006217E8"/>
    <w:rsid w:val="00621E6B"/>
    <w:rsid w:val="006221B6"/>
    <w:rsid w:val="006225BA"/>
    <w:rsid w:val="0062336E"/>
    <w:rsid w:val="00623F73"/>
    <w:rsid w:val="00625103"/>
    <w:rsid w:val="00626E88"/>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1D09"/>
    <w:rsid w:val="0072206F"/>
    <w:rsid w:val="00722485"/>
    <w:rsid w:val="00723793"/>
    <w:rsid w:val="00725E83"/>
    <w:rsid w:val="007279BB"/>
    <w:rsid w:val="0073031B"/>
    <w:rsid w:val="00730A1B"/>
    <w:rsid w:val="00731521"/>
    <w:rsid w:val="0073477C"/>
    <w:rsid w:val="0073483D"/>
    <w:rsid w:val="00735671"/>
    <w:rsid w:val="00735CBA"/>
    <w:rsid w:val="00736559"/>
    <w:rsid w:val="007366E9"/>
    <w:rsid w:val="0074080F"/>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37CF"/>
    <w:rsid w:val="00764006"/>
    <w:rsid w:val="0076434A"/>
    <w:rsid w:val="00764D12"/>
    <w:rsid w:val="00764E0B"/>
    <w:rsid w:val="0076528B"/>
    <w:rsid w:val="00765E9E"/>
    <w:rsid w:val="007671CF"/>
    <w:rsid w:val="0076793A"/>
    <w:rsid w:val="00767AF2"/>
    <w:rsid w:val="00767B41"/>
    <w:rsid w:val="007705DF"/>
    <w:rsid w:val="00770FC9"/>
    <w:rsid w:val="00771C75"/>
    <w:rsid w:val="0077239C"/>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D65B9"/>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176D"/>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336"/>
    <w:rsid w:val="00880F80"/>
    <w:rsid w:val="0088112F"/>
    <w:rsid w:val="00881E99"/>
    <w:rsid w:val="00882A2C"/>
    <w:rsid w:val="008843A6"/>
    <w:rsid w:val="00885347"/>
    <w:rsid w:val="00886221"/>
    <w:rsid w:val="00886389"/>
    <w:rsid w:val="00886C6A"/>
    <w:rsid w:val="00890463"/>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9C3"/>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0CFE"/>
    <w:rsid w:val="008E1A87"/>
    <w:rsid w:val="008E33E6"/>
    <w:rsid w:val="008E37B1"/>
    <w:rsid w:val="008E3CCE"/>
    <w:rsid w:val="008E3FA1"/>
    <w:rsid w:val="008E4B40"/>
    <w:rsid w:val="008E53BF"/>
    <w:rsid w:val="008E567E"/>
    <w:rsid w:val="008E6130"/>
    <w:rsid w:val="008E61B4"/>
    <w:rsid w:val="008E6331"/>
    <w:rsid w:val="008E6D5D"/>
    <w:rsid w:val="008E7FDB"/>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3C4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EFF"/>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3CE6"/>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5379"/>
    <w:rsid w:val="00A25700"/>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7B7D"/>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058"/>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08BC"/>
    <w:rsid w:val="00B02210"/>
    <w:rsid w:val="00B02745"/>
    <w:rsid w:val="00B02F85"/>
    <w:rsid w:val="00B03B65"/>
    <w:rsid w:val="00B03D62"/>
    <w:rsid w:val="00B0449A"/>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59CD"/>
    <w:rsid w:val="00B26C28"/>
    <w:rsid w:val="00B26E2B"/>
    <w:rsid w:val="00B273AD"/>
    <w:rsid w:val="00B32077"/>
    <w:rsid w:val="00B32319"/>
    <w:rsid w:val="00B32CF6"/>
    <w:rsid w:val="00B3308C"/>
    <w:rsid w:val="00B33266"/>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77FE8"/>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4B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5F18"/>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B73"/>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8"/>
    <w:rsid w:val="00C31E2C"/>
    <w:rsid w:val="00C321DD"/>
    <w:rsid w:val="00C3374B"/>
    <w:rsid w:val="00C33E5F"/>
    <w:rsid w:val="00C34C87"/>
    <w:rsid w:val="00C354EF"/>
    <w:rsid w:val="00C36165"/>
    <w:rsid w:val="00C3653D"/>
    <w:rsid w:val="00C36D97"/>
    <w:rsid w:val="00C36DC5"/>
    <w:rsid w:val="00C3705D"/>
    <w:rsid w:val="00C3722A"/>
    <w:rsid w:val="00C4025D"/>
    <w:rsid w:val="00C40B71"/>
    <w:rsid w:val="00C41386"/>
    <w:rsid w:val="00C423D9"/>
    <w:rsid w:val="00C42ECA"/>
    <w:rsid w:val="00C43146"/>
    <w:rsid w:val="00C4395B"/>
    <w:rsid w:val="00C43FC7"/>
    <w:rsid w:val="00C4487D"/>
    <w:rsid w:val="00C44C20"/>
    <w:rsid w:val="00C44FC3"/>
    <w:rsid w:val="00C459EA"/>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1"/>
    <w:rsid w:val="00C654AD"/>
    <w:rsid w:val="00C67898"/>
    <w:rsid w:val="00C67DCE"/>
    <w:rsid w:val="00C7039A"/>
    <w:rsid w:val="00C70538"/>
    <w:rsid w:val="00C71367"/>
    <w:rsid w:val="00C72401"/>
    <w:rsid w:val="00C7253C"/>
    <w:rsid w:val="00C73188"/>
    <w:rsid w:val="00C74967"/>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1F30"/>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6E8"/>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2985"/>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67A16"/>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32AA"/>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3F1"/>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37D36"/>
    <w:rsid w:val="00E4032F"/>
    <w:rsid w:val="00E411B3"/>
    <w:rsid w:val="00E41B7D"/>
    <w:rsid w:val="00E42776"/>
    <w:rsid w:val="00E42BDF"/>
    <w:rsid w:val="00E432E7"/>
    <w:rsid w:val="00E437CD"/>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681"/>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529F"/>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6C1"/>
    <w:rsid w:val="00F06DC3"/>
    <w:rsid w:val="00F07005"/>
    <w:rsid w:val="00F079AA"/>
    <w:rsid w:val="00F1062C"/>
    <w:rsid w:val="00F11B68"/>
    <w:rsid w:val="00F126D9"/>
    <w:rsid w:val="00F13C36"/>
    <w:rsid w:val="00F13D92"/>
    <w:rsid w:val="00F1471F"/>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6E53"/>
    <w:rsid w:val="00F474EE"/>
    <w:rsid w:val="00F5097B"/>
    <w:rsid w:val="00F519F1"/>
    <w:rsid w:val="00F51ED1"/>
    <w:rsid w:val="00F54CA0"/>
    <w:rsid w:val="00F55710"/>
    <w:rsid w:val="00F56184"/>
    <w:rsid w:val="00F56270"/>
    <w:rsid w:val="00F564FC"/>
    <w:rsid w:val="00F567F5"/>
    <w:rsid w:val="00F56DAC"/>
    <w:rsid w:val="00F571A3"/>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1A8"/>
    <w:rsid w:val="00FA6608"/>
    <w:rsid w:val="00FA7D9F"/>
    <w:rsid w:val="00FB097F"/>
    <w:rsid w:val="00FB143B"/>
    <w:rsid w:val="00FB2F9A"/>
    <w:rsid w:val="00FB35E0"/>
    <w:rsid w:val="00FB5BAE"/>
    <w:rsid w:val="00FB6804"/>
    <w:rsid w:val="00FB7150"/>
    <w:rsid w:val="00FB7479"/>
    <w:rsid w:val="00FC016A"/>
    <w:rsid w:val="00FC0B78"/>
    <w:rsid w:val="00FC0E7E"/>
    <w:rsid w:val="00FC0EB9"/>
    <w:rsid w:val="00FC19C5"/>
    <w:rsid w:val="00FC3A84"/>
    <w:rsid w:val="00FC46C5"/>
    <w:rsid w:val="00FC4778"/>
    <w:rsid w:val="00FC48A4"/>
    <w:rsid w:val="00FC53E9"/>
    <w:rsid w:val="00FC576B"/>
    <w:rsid w:val="00FC5B41"/>
    <w:rsid w:val="00FC5C97"/>
    <w:rsid w:val="00FC6DC9"/>
    <w:rsid w:val="00FC7DCD"/>
    <w:rsid w:val="00FD0ADA"/>
    <w:rsid w:val="00FD15B7"/>
    <w:rsid w:val="00FD1D35"/>
    <w:rsid w:val="00FD21EE"/>
    <w:rsid w:val="00FD43D9"/>
    <w:rsid w:val="00FD559D"/>
    <w:rsid w:val="00FD5AD6"/>
    <w:rsid w:val="00FD6EF7"/>
    <w:rsid w:val="00FD6FA7"/>
    <w:rsid w:val="00FD7FB2"/>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9389A"/>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8E0CFE"/>
    <w:rPr>
      <w:color w:val="808080"/>
    </w:rPr>
  </w:style>
  <w:style w:type="paragraph" w:styleId="KeinLeerraum">
    <w:name w:val="No Spacing"/>
    <w:uiPriority w:val="1"/>
    <w:qFormat/>
    <w:rsid w:val="007723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09D8-26D2-42E8-9E21-F9DA2443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sells US conveyor assets to MHS</vt:lpstr>
      <vt:lpstr>Template_Brief</vt:lpstr>
    </vt:vector>
  </TitlesOfParts>
  <Company>TGW Group</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sells US conveyor assets to MHS</dc:title>
  <dc:creator>Wohlfarth Andrea</dc:creator>
  <cp:lastModifiedBy>Weiß Lena</cp:lastModifiedBy>
  <cp:revision>2</cp:revision>
  <cp:lastPrinted>2020-09-07T05:28:00Z</cp:lastPrinted>
  <dcterms:created xsi:type="dcterms:W3CDTF">2021-02-08T06:46:00Z</dcterms:created>
  <dcterms:modified xsi:type="dcterms:W3CDTF">2021-02-08T06:46:00Z</dcterms:modified>
</cp:coreProperties>
</file>